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«Издательский дом УМПРО» (далее – Общество) обратилось в Арбитражный суд города Москвы с иском к Железняковой Ирине Викторовне о взыскании 3 444 547 рублей 15 копеек убытков. Решением Арбитражного суда города Москвы от 03.11.2021 требования удовлетворены. Постановлением Девятого арбитражного апелляционного суда от 20.01.2022, оставленным без изменения постановлением Арбитражного суда Московского округа от 21.04.2022, решение от 03.11.2021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на правомерности выводов суда первой инстанции, основанных на представленном аудиторском заключении.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2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с 01.04.2014 по 14.03.2019 полномочия генерального директора Общества исполняла Железнякова И.В. В обоснование требований Общество указало, что Железнякова И.В., являясь в спорный период генеральным директором юридического лица, причинила последнему 3 444 547 рублей 15 копеек убытков, что подтверждает результатами проведенной аудиторской проверки (отчет общества с ограниченной ответственностью «Атлант-Аудит»).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пункту 1 статьи 53.1 Гражданского кодекса лицо, которое в силу закона , иного правого акта или учредительного документа юридического лица уполномочено выступать от его имени (пункт3 статьи 53), обязано возместить по требованию юридического лица, его учредителей (участников),выступающих в интересах юридического лица, убытки, причиненные по его вине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3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 первой инстанции удовлетворил иск, исходя из правомерности заявленных требований. Повторно исследовав и оценив доказательства по правилам статьи 71 Арбитражного процессуального кодекса Российской Федерации(далее -АПК РФ) руководствуясь названными выше положениями действующего законодательства, регулирующими спорные отношения,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указав, что выводы аудиторской проверки не свидетельствует о наличии убытков у Общества из-за действий генерального директора, а указанный отчет не является безусловным доказательством и носит оценочный характер. Истцом не представлены доказательства обращения к контрагентам о предоставлении фактических сведений по фактам хозяйственной деятельности Общества в спорный период, которые, по его мнению, лежат в основе мнимых и притворных сделок. Само по себе наличие негативных последствий не означает, что директор пренебрегал своими обязанностями, так как убытки могут быть связаны с рисковым характером предпринимательской деятельности при заключении большого количества агентских соглашений. Суд апелляционной инстанции пришел к выводу, что все спорные сделки были заключены в процессе обычной хозяйственной деятельности Общества, не требовали корпоративного одобрения, доказательств наличия заинтересованности генерального директора в данных сделках, получения им личной выгоды не имеется.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общества с ограниченной ответственностью «Издательский дом УМПРО»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