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09.09.2021, оставленным без изменения постановлением Тринадцатого арбитражного апелляционного суда от 15.12.2021 и постановлением Арбитражного суда Северо-Западного округа от 16.03.2022,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права, просит 2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15, 393, 702, 711, 779, 781 Гражданского кодекса Российской Федерации, суды первой и апелляционной инстанций пришли к выводу о наличии оснований для отказа в удовлетворении первоначального иска и удовлетворения встречного иска, исходя из неподтвержденности факта выполнения обществом и передачи результата услуг компании в соответствии с условиями спорного договора, а также доказанности последней совокупности условий, необходимых для привлечения общества к ответственности в виде взыскания убытков.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«Лифтсервис»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