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города Москвы от 14.10.2021, оставленным без изменения постановлением Девятого арбитражного апелляционного суда от 21.12.2021 и постановлением Арбитражного суда Московского округа от 31.03.2022, в удовлетворении иска отказано. В кассационной жалобе, поданной в Верховный Суд Российской Федерации, компания, ссылаясь на нарушение судами норм материального права, несоответствие выводов судов обстоятельствам дела, просит отменить указанные судебные акты и направить дело на новое рассмотрение в соответствующий суд.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состоявшихся по делу судебных актов и доводов кассационной жалобы не установлено. Разрешая спор и отказывая в удовлетворении иска, суды руководствовались статьями 196, 199, 200, 203, 407, 421, 450, 702, 715, 1102 Гражданского кодекса Российской Федерации и исходили из пропуска компанией срока исковой давности, о чем было заявлено ответчиком. При этом суды указали на отсутствие доказательств, свидетельствующих о перерыве течения срока исковой давности.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Учитывая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Строительно-торговая компания «Трансснабстрой»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