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23.08.2021, оставленным без изменения постановлением Девятого арбитражного апелляционного суда от 30.11.2021 и постановлением Арбитражного суда Московского округа от 11.03.2022, исковые требования удовлетворены. В кассационной жалобе, поданной в Верховный Суд Российской Федерации, общество, ссылаясь на нарушение судами норм материального и процессуального права, просит отменить указанные судебные акты и направить дело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Как следует из судебных актов, учреждение и общество (грантополучатель) 27.12.2018 заключили договор (соглашение) № 463ГРНТИС5/44714 о предоставлении гранта на выполнение научно-исследовательских и опытно-конструкторских работ. Ссылаясь на то, что в установленный договором срок работы не завершены, отчетная документация, соответствующая условиям договора и подтверждающая выполнение своих обязательств по договору, не сдана, обязательства по договору обществом не исполнены, учреждение обратилось в арбитражный суд с требованиями о расторжении договора и взыскании неосновательного обогащения. Исследовав и оценив представленные в материалы дела доказательства по правилам статьи 71 Арбитражного процессуального кодекса Российской Федерации, руководствуясь статьями 450, 452, 1102, 1103 Гражданского кодекса Российской Федерации, статьей 2 Федерального закона от 23.08.1996 № 127-ФЗ «О науке и государственной научно-технической политике», суды пришли к выводу о наличии оснований для удовлетворения исковых требований, исходя из доказанности факта существенного нарушения обществом условий договора. Возражения общества со ссылкой на отсутствие оснований для взыскания неосновательного обогащения не могут быть приняты во внимание, поскольку принцип безвозмездности и безвозвратности не означает невозможность истребования грантодателем от грантополучателя предоставленных средств, так как предоставление гранта предполагает его строгое целевое использование. Таким образом, в случае, если денежные средства гранта не были потрачены на цель, то они в соответствии с пунктом 3 статьи 1103 Гражданского кодекса Российской Федерации представляют собой неосновательное обогащение. Безосновательное появление у грантополучателя возможности потратить средства гранта на любой расход напрямую противоречит целевой природе гранта. Между тем, целевое использование средств гранта судами при рассмотрении спора не установлено. Доводы кассационной жалобы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3 в судебном заседании Судебной коллегии Верховного Суда Российской Федерации.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«АльтЭль»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