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23.03.2021, оставленным без изменения постановлением Одиннадцатого арбитражного апелляционного суда от 13.12.2021 и постановлением Арбитражного суда Поволжского округа от 16.03.2022,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заявителя не установлено. Разрешая спор и удовлетворяя исковые требования, суды руководствовались статьями 309, 310, 702, 711, 715, 723, 740, 746, 753 Гражданского кодекса Российской Федерации и исходили из доказанности наличия у общества задолженности за выполненные компанией работы по спорному договору в заявленном размере.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«Прагмат»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