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28.10.2021, оставленным без изменения постановлением Третьего арбитражного апелляционного суда от 13.01.2022 и постановлением Арбитражного суда Восточно-Сибирского округа от 05.04.2022, в удовлетворении иска отказано. В кассационной жалобе, поданной в Верховный Суд Российской Федерации, конкурсный управляющий обществом, ссылаясь на нарушение судами норм материального и процессуального права, просит отменить указанные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спорного договора и дополнительных соглашений к нему, установив, что спорная задолженность является удержанием (отложенным платежом), обязанность ответчика по оплате которого не наступила, руководствуясь статьями 421, 431, 702, 709, 711, 755 Гражданского кодекса Российской Федерации, суды первой и апелляционной инстанций пришли к выводу об отсутствии оснований для удовлетворения иска, с чем впоследствии согласился суд округа.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по существу сводятся к несогласию заявителя с оценкой доказательств, данной судами, и установленными фактическими обстоятельствами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конкурсного управляющего обществом с ограниченной ответственностью «Альтернатива» Максименко Оксаны Николаевны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