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23.09.2021, оставленным без изменения постановлением Девятого арбитражного апелляционного суда от 26.11.2021 и постановлением Арбитражного суда Московского округа от 29.03.2022, с общества в пользу компании взыскано 1 250 000 руб. неосновательного обогащения, 48 480 руб. 19 коп. процентов за пользование чужими денежными средствами, 108 866 руб. 90 коп. штрафа, в удовлетворении остальной части исковых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 в законную силу судебным актом по делу № А40-36278/2020, установив, что компания перечислила обществу аванс по спорному договору, доказательства освоения обществом денежных средств отсутствуют, компания отказалась от исполнения договора в одностороннем порядке, руководствуясь статьями 309, 310, 330, 395, 421, 540, 702, 708, 711, 715, 723, 746, 1102 Гражданского кодекса Российской Федерации, суды первой и апелляционной инстанций пришли к выводу о наличии оснований для взыскания с ответчика неосновательного обогащения, процентов за пользование чужими денежными средствами (с учетом корректировки их расчета) и штрафа в соответствии с пунктом 7.5 договора.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«МЕГАСТРОЙПРОЕКТ»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