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19.08.2021, оставленным без изменения постановлением Девятого арбитражного апелляционного суда от 16.11.2021 и постановлением Арбитражного суда Московского округа от 22.03.2022,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установив факт выполнения компанией работ по спорному договору и отсутствие доказательств их оплаты, руководствуясь статьями 309, 310, 395, 702, 711, 746, 753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требований. Суд округа, не установив нарушений судами норм процессуального права,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«Прогресс»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