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28.06.2021, оставленным без изменения постановлениями Восемнадцатого арбитражного апелляционного суда от 18.10.2021 и Арбитражного суда Уральского округа от 11.03.2022, в удовлетворении иска отказано. В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При изучении доводов кассационной жалобы и принятых по делу 2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вторых частей заявок участников электронного аукциона на поставку светового комплекса аукционной комиссией учреждения (заказчик) заявка общества признана несоответствующей требованиям, установленным документацией об аукционе, на основании части 6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ввиду несоответствия информации, предоставленной участником закупки в порядке пункта 4 части 11 статьи 24.1 Закона о контрактной системе. В обоснование иска общество указало, что несоответствие решения единственного участника общества об одобрении крупной сделки ценовому предложению не может служить основанием для признания заявки общества несоответствующей требованиям аукционной документации в порядке пункта 4 части 5 статьи 66 Закона о контрактной системе, поскольку для него наличие такого решения не требуется. Исследовав и оценив представленные в материалы дела доказательства, руководствуясь положениями Гражданского кодекса Российской Федерации, 69 Закона о контрактной системе, Федерального закона от 08.02.1998 № 14-ФЗ «Об обществах с ограниченной ответственностью», Правилами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утвержденными постановлением Правительства Российской Федерации от 30.12.2018 № 1752, суды пришли к выводу об отсутствии оснований для удовлетворения иска. Судебные инстанции указали, что отклонение заявки общества произведено в связи с нарушением требований части 6 статьи 69 Закона о контрактной системе, в связи с несоответствием одобренной участником общества суммы контракта размеру начальной (максимальной) цены контракта и размеру ценового предложения самого участника аукциона. Ссылка заявителя о преюдициальном значении для настоящего дела судебных актов, принятых по делу № А76-1529/2021, подлежит отклонению как несоответствующая части 2 статьи 69 Арбитражного процессуального кодекса Российской Федерации. Довод общества о том, что в рассматриваемом случае решения об одобрении сделки не требуется, поскольку положения об одобрении крупной сделки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является обоснованным. Вместе с тем, принимая во внимание, что по результатам спорного электронного аукциона между победителем аукциона и заказчиком заключен государственный контракт, который находится на исполнении, оснований для 3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отмена состоявшихся судебных актов не приведет к восстановлению нарушенных прав и законных интересов общества.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«Макрозвук»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