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«Автологистика» обратилось в Арбитражный суд Новосибирской области с иском о взыскании с общества с ограниченной ответственностью «Импокар-Транс» 414 485 рублей 33 копеек убытков. К участию в деле в качестве третьих лиц, не заявляющих самостоятельных требований относительно предмета спора, привлечены публичное акционерное общество страховая компания «Росгосстрах», общество с ограниченной ответственностью «Балтийский Лизинг». Решением Арбитражного суда Новосибирской области от 24.11.2021 иск удовлетворен. Постановлением Седьмого арбитражного апелляционного суда от 01.02.2022 решение суда первой инстанции оставлено без изменения. Арбитражный суд Западно-Сибирского округа постановлением от 12.04.2022 указанные судебные акты оставил без изменения. Общество с ограниченной ответственностью «Импокар-Транс» обратилось в Судебную коллегию Верховного Суда Российской Федерации с 2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15, 393, 401, 784, 785, 792, 796 Гражданского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транспорта», правовыми позициями,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доказанности факта повреждения груза при его транспортировке и отсутствия доказательств того, что повреждение груза произошло вследствие обстоятельств, которые перевозчик не мог предотвратить и устранение которых от него не зависело.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«Импокар-Транс»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