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комитет обратился в суд с заявлением о включении в реестр требований кредиторов должника (далее – реестр) его требования в размере 9 601 820 рублей 98 копеек. Определением Арбитражного суда города Санкт – Петербурга и Ленинградской области от 29.10.2021, оставленным без изменения постановлениями Тринадцатого арбитражного апелляционного суда от 19.01.2022 и Арбитражного суда Северо-Западного округа от 18.04.2022, требование в размере 9 531 164 рублей 98 копеек признано обоснованным и подлежащим удовлетворению за счёт имущества должника, оставшегося после удовлетворения требований реестровых кредиторов; производство по заявлению комитета в части включение в реестр судебных расходов прекращено. В кассационной жалобе, поданной в Верховный Суд Российской Федерации, заявитель просит отменить названные судебные акты в части отказа во включении в реестр его требования, принять по делу новый судебный акт о включении данного требования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142 Федерального закона от 26.10.2002 № 127-ФЗ «О несостоятельности (банкротстве)», пунктом 20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Федерации», исходили из пропуска комитетом установленного законом срока для предъявления своего требования. Выводы судов в обжалуемой заявителем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города Санкт-Петербурга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