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Мордовия от 21.07.2021, оставленным без изменения постановлением Первого арбитражного апелляционного суда от 16.11.2021 и постановлением Арбитражного суда Волго-Вятского округа от 21.03.2022, первоначальные исковые требования удовлетворены частично, с компании в пользу общества взыскано 364 207 руб. 43 коп. неустойки, 206 603 руб. 55 коп. штрафа; в удовлетворении встречного иска отказано. 2 В кассационной жалобе, поданной в Верховный Суд Российской Федерации, компания, ссылаясь на нарушение судами норм материального и процессуального права, просит отменить указанные судебные акты в части удовлетворения требования общества о взыскании штрафа, отказа в удовлетворении встречного иска и направить дело на новое рассмотрение в Арбитражный суд Республики Мордовия.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договора и дополнительного соглашения к нему, суды первой и апелляционной инстанций установили, что компания (подрядчик) не выполнила работы в предусмотренный срок и не устранила в полном объеме замечания общества (заказчик); общество правомерно отказалось от исполнения договора; доказательств передачи компанией результата работ до отказа общества от исполнения договора не представлено. При таких обстоятельствах, принимая во внимание утрату интереса общества к результату работ, руководствуясь статьями 330, 708, 715, 758, 760, 762 Гражданского кодекса Российской Федерации, суды пришли к выводу о наличии оснований для применения к компании предусмотренной пунктом 13.3 договора ответственности в виде штрафа и отсутствии у общества обязанности по оплате спорных работ, удовлетворив первоначальные требования в соответствующей части и отказав в удовлетворении встречного иска. Суд округа поддержал выводы судов первой и апелляционной инстанций. Доводы кассационной жалобы были предметом рассмотрения судов и получили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по существу сводятся к несогласию заявителя с оценкой доказательств, данной судами, и установленными фактическими обстоятельствами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Строительная компания «Феникс»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