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ссылка заявителя кассационной жалобы на судебные акты Верховного Суда Российской Федерации не имеет правового значения, поскольку предметом рассмотрения в указанных делах были иные правоотношения, основанные на других нормах права. Так, предметом рассмотрения в деле № А60-11259/2019 было взыскание неустойки по договору строительного подряда, а в деле № А40-109796/2017 – заявление финансового управляющего об исключении части имущества должника из конкурсной массы в рамках дела о банкротстве.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отказать акционерному обществу «Тематика»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