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включении в реестр требований кредиторов должника (далее – реестр) его требований в размере 771 368 000 рублей основного долга, 272 807 458 рублей 66 копеек процентов по кредиту, 752 364 576 рублей 17 копеек пени, как обеспеченных залогом недвижимого имущества должника. Определением Арбитражного суда города Москвы от 14.10.2021, оставленным без изменения постановлениями Девятого арбитражного апелляционного суда от 08.12.2021 и Арбитражного суда Московского округа от 17.03.2022, заявление оставлено без рассмотрения.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в Арбитражный суд города Москвы. 06.06.2022 материалы дела № А40-105473/2014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Повторно разрешая спор, суд округа, применительно к положениям пункта 18 Обзора судебной практики Верховного Суда Российской Федерации № 1 (2017) (утверждённого Президиумом Верховного Суда Российской Федерации 16.02.2017), обоснованно признал ошибочными, не соответствующими фактическим обстоятельствам, выводы судов первой и апелляционной инстанции о наличии оснований для оставления заявления банка без рассмотрения. Вместе с тем, согласно размещённой на официальном сайте Картотеки арбитражных дел (http://kad.arbitr.ru/) информации о движении настоящего дела № А40-105473/2014, в производстве суда первой инстанции имеется ещё одно аналогичное и не рассмотренное требование банка о включении его требований в реестр. При таких условиях суд округа пришёл к правильному выводу о том, что отмена обжалуемых банком судебных актов не приведёт к реальному восстановлению нарушенных прав заявителя. Выводы суда округа соответствуют нормам права, оснований для переоценки этих выводов по доводам жалобы не имеется. Доводы кассационной жалобы с учётом изученных материалов истребованного дела и конкретных обстоятельств не подтверждают наличие оснований для передачи жалобы на рассмотрение в судебном заседании.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«Национальный банк «Траст»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