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о передаче жилых помещений должника его требований по передаче трёх помещений. Впоследствии в рамках данного обособленного спора общество заявило ходатайство о его замене в порядке процессуального правопреемства на Шеховцову Ирину Григорьевну. Определением Арбитражного суда Краснодарского края от 21.10.2021 заявление удовлетворено, в реестр требований о передаче жилых помещений должника включены требования Шеховцовой И.Г. о передаче ей трёх помещений. Постановлением Пятнадцатого арбитражного апелляционного суда от 24.12.2021, оставленным без изменения постановлением Арбитражного суда Северо-Кавказского округа от 22.02.2022, изменено определение суда первой инстанции, признаны обоснованными и включены в четвёртую очередь реестра требований кредиторов должника требования Шеховцовой И.Г. в размере 4 963 140 рублей (стоимость трёх жилых помещений) с установлением статуса залогового кредитора.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Письмом Верховного Суда Российской Федерации от 25.05.2022 материалы дела № А32-7264/2019, касающиеся данного спора, были истребованы в Арбитражном суде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 апелляционной инстанции и округа, руководствуясь положениями статей 126, 201.1, 201.4 и 201.9 Федерального закона от 26.10.2002 № 127-ФЗ «О несостоятельности (банкротстве)», верно исходили из того, что заявленные требования не могут быть учтены как требования участника строительства и подлежат учёту в четвёртой очереди реестра.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«Академия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