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Каменская И.А. обратилась в суд с заявлением, в котором просила: признать за ней право собственности на машино-место № 83 общей площадью 16,7 кв.м., находящееся в подземном этаже - 1 жилого дома по адресу: Российская Федерация, Саратовская область, Энгельсский муниципальный район Саратовской области, муниципальное образование город Энгельс Энгельсского муниципального района Саратовской области, город Энгельс, улица Комсомольская, дом 117, корпус 1 пом.83; исключить из конкурсной массы находящееся по вышеуказанному адресу машино-место с кадастровым номером №64:50:010725:1470; освободить данное машино-место от залога, наложенного в обеспечение обязательств по договору № 032/074-19 от 22.07.2019, заключенному между должником и акционерным обществом «Банк ДОМ.РФ» (далее – банк). Определением Арбитражного суда Самарской области от 22.09.2021, оставленным без изменения постановлениями Двенадцатого арбитражного апелляционного суда от 09.12.2021 и Арбитражного суда Поволжского округа от 14.04.2022,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352, 353, 431, 455 Гражданского кодекса Российской Федерации, статьями 126, 131, 134 Федерального закона от 26.10.2002 № 127-ФЗ «О несостоятельности (банкротстве)» (далее – Закон о банкротстве), исходили из того, что признание за заявителем права собственности на заложенное банку машино-место с его последующим исключением из конкурсной массы должника и освобождением из под действующего залога повлечёт за собой нарушение прав банка - залогодержателя и других участников долевого строительства, поскольку по смыслу Закона о банкротстве Каменская И.А. является не обманутым дольщиком, а текущим кредитором должника (оплата данного машино-места произведена заявителем после открытия конкурсного производства и вынесения судом определения о включении требований банка в реестр требований кредиторов должника). При таких обстоятельствах, удовлетворение требований Каменской И.А. повлечет отчуждение имущества должника в обход установленной Законом о банкротстве процедуры его реализации, предусматривающей оценку его рыночной стоимости и продажу посредством торгов, в связи с чем суды отказали в удовлетворении заявления. Выводы судов соответствуют нормам права, оснований для переоценки выводов судов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Каменской Ирине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