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Ремизов Ю.В. обратился в суд с заявлением о пересмотре по вновь открывшимся обстоятельствам определения Арбитражного суда Свердловской области от 07.12.2020 о частичном удовлетворении заявления внешнего управляющего должником Шафранова Андрея Павловича об истребовании у бывшего внешнего управляющего Ремизова Ю.В. документов и имущества должника; обязании Шафранова А.П. принять у Ремизова Ю.В. документы по секретному делопроизводству должника и двигатели ДП-52. Определением Арбитражного суда Свердловской области от 27.10.2021, оставленным без изменения постановлениями Семнадцатого арбитражного апелляционного суда от 27.01.2022 и Арбитражного суда Уральского округа от 18.04.2022,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Свердловской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положениями статьи 311 Арбитражного процессуального кодекса Российской Федерации, пунктами 3 –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имели отношение к уже исследованным при рассмотрении соответствующего обособленного спора доказательствам, не отвечали признакам существенных, новых или вновь открывшихся, способных повлиять на иные выводы суда при принятии пересматриваемого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Ремизову Юрию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