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14.10.2021 иск удовлетворен. Общество обратилось в Четырнадцатый арбитражный апелляционный суд с апелляционной жалобой на указанное решение суда, заявив ходатайство о восстановлении пропущенного процессуального срока. Четырнадцатый арбитражный апелляционный суд определением от 20.01.2022 возвратил апелляционную жалобу общества на основании пункта 3 части 1 статьи 264 Арбитражного процессуального кодекса Российской Федерации в связи с пропуском срока подачи жалобы и отказом в удовлетворении ходатайства о его восстановлении. Постановлением Арбитражного суда Северо-Западного округа от 17.03.2022 определение апелляционного суда оставлено без изменения. В кассационной жалобе, поданной в Верховный Суд Российской Федерации, общество просит отменить определение суда апелляционной инстанции и постановление суда округа, ссылаясь на их незаконность.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обществу апелляционную жалобу, суд апелляционной инстанции руководствовался статьями 117, 121, 123, 259, 264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общество, извещенное надлежащим образом о судебном процессе, не привело уважительных причин, объективно препятствующих подаче жалобы в установленный законом срок.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 и не подтверждают существенных нарушений судами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«Межрегионинвест»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