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12.04.2021, оставленным без изменения постановлением Десятого арбитражного апелляционного суда от 30.09.2021 и постановлением Арбитражного суда Московского округа от 28.12.2021, в удовлетворении заявления отказано. В кассационной жалобе ФИО1 просит об отмене судебных актов, ссылаясь на мнимость сделки и злоупотребление правами при ее совершении.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проверили обстоятельства совершения сделки по заявленным основаниям и установили отсутствие необходимых в силу законодательства о банкротстве условий недействительности. Обоснование недействительности общими нормами гражданского законодательства и обстоятельствами совершения должником иных сделок не относится к предмету рассматриваемого заявления и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ИП Безбородов Кирилл Юрьевич (подробнее) Исрафилов Муртузали Исрафил оглы (подробнее) Межрайонная ИФНС России №1 по Московской области (подробнее) ООО "Восторг" (подробнее) ООО КБ Новопокровский (подробнее) ООО "Лакилэнд" (подробнее) ПАО Банк ВТБ (подробнее) ПАО "Сбербанк России" (подробнее) Иные лица: НП Саморегулируемая организация арбитражных управляющих "Развитие"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