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15.10.2021 завершена процедура реализации имущества гражданина Шипило Павла Михайловича и должник освобожден от дальнейшего исполнения требований кредиторов, в том числе не заявленных при реализации имущества должника. Постановлением Одиннадцатого арбитражного апелляционного суда от 23.12.2021 определение суда первой инстанции оставлено без изменения. Арбитражный суд Поволжского округа постановлением от 21.04.2022 указанные судебные акты оставил без изменения. Общество с ограниченной ответственностью фирма «Рекон» в лице конкурсного управляющего Цупровой К.В.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Рассматривая вопрос о завершении процедуры реализации имущества должника, суды руководствовались статьей 213.28 Федерального закона от 26.10.2002 № 127-ФЗ «О несостоятельности (банкротстве)» и исходили из проведения финансовым управляющим имуществом должника всех мероприятий, необходимых для завершения процедуры реализации имущества должника, и отсутствия оснований для ее продления. Ввиду недоказанности обстоятельств, при которых освобождение должника от исполнения обязательств не допускается, учитывая, что о наличии таких обстоятельств лицами, участвующими в деле, не заявлено, суды освободил должника от дальнейшего исполнения требований перед кредиторами.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«Рекон» в лице конкурсного управляющего Цупровой К.В.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