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26.08.2021, оставленным без изменения постановлением Девятого арбитражного апелляционного суда от 19.11.2021 и постановлением Арбитражного суда Московского округа от 21.03.2022,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2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393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первой и апелляционной инстанций, с которыми впоследствии согласился суд округа, пришли к выводу об отсутствии оснований для удовлетворения иска, исходя из недоказанности истцом совокупности условий, необходимых для взыскания с ответчика убытков.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«Стройсервисюг»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