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20.07.2021, оставленным без изменения постановлением Второго арбитражного апелляционного суда от 25.10.2021 и постановлением Арбитражного суда Волго-Вятского округа от 09.03.2022, производство по делу в части требования о взыскании процентов за пользование чужими денежными средствами прекращено в связи с отказом общества от иска; с компании в пользу общества взыскано 2 612 777 руб. 92 коп. убытков, в удовлетворении остальной части требований отказано. 2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направить дело на новое рассмотрение в Арбитражный суд Ярославской области.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частично удовлетворяя исковые требования,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393, 702, 721, 722, 723, 724, 740, 755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исходили из доказанности обществом совокупности условий, необходимых для взыскания с компании убытков. Суд округа поддержал выводы судов первой и апелляционной инстанций. Приведенные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«Строительная компания «Монолит»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