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21.10.2021, оставленным без изменения постановлением Девятого арбитражного апелляционного суда от 15.12.2021 и постановлением Арбитражного суда Московского округа от 12.04.2022, с компании в пользу общества взыскано 2 581 425 руб. задолженности, 39 100 руб. 64 коп. неустойки за период по 30.06.2021, неустойка в размере 0,01 % за каждый день просрочки, начисленная на сумму задолженности за период с 01.07.2021 по дату фактической оплаты, в удовлетворении остальной части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несоответствие выводов судов фактическим обстоятельствам дела, просит отменить указанные судебные акты в части отказа во взыскании долга в размере 940 000 руб. и соответствующей 2 неустойки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определив стоимость выполненных обществом работ, принимая во внимание произведенную компанией оплату, руководствуясь статьями 329, 330, 432, 702, 711 Гражданского кодекса Российской Федерации, суды первой и апелляционной инстанций пришли к выводу о наличии оснований для частичного удовлетворения исковых требований,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«Авентс Строй Инжиниринг»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