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18.06.2021, оставленным без изменения постановлением Пятого арбитражного апелляционного суда от 16.11.2021 и постановлением Арбитражного суда Дальневосточного округа от 10.03.2012, первоначальный иск оставлен без рассмотрения; встречный иск удовлетворен частично, с организации в пользу общества взыскано 29 386 997 руб. 12 коп. задолженности, в удовлетворении остальной части требований отказано. В кассационной жалобе, поданной в Верховный Суд Российской Федерации, организация, ссылаясь на нарушение судами норм права, просит отменить указанные судебные акты в части удовлетворения встречного иска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квалифицировав спорные правоотношения сторон в качестве разовой сделки купли-продажи, установив факт передачи обществом (продавец), принятия организацией (покупатель) имущества (материалов) и неисполнение последней обязательств по его оплате, руководствуясь статьями 8, 432, 434, 454, 486 Гражданского кодекса Российской Федерации, суды первой и апелляционной инстанций удовлетворили встречный иск в обжалуемой части.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3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«Организация многопрофильного обслуживания-БК»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