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24.11.2021, оставленным без изменения постановлением Шестого арбитражного 2 апелляционного суда от 22.02.2022 и постановлением Арбитражного суда Дальневосточного округа от 28.04.2022,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214-ФЗ), признав подтвержденным факт нарушения обществом (застройщик) сроков передачи третьему лицу (участник) объектов долевого строительства по спорным договорам, суды первой и апелляционной инстанций пришли к выводу о наличии оснований для привлечения общества к ответственности в соответствии с пунктом 2 статьи 6 Закона № 214-ФЗ. Установив, что право требования неустойки перешло к компании на основании договора уступки соответствующего требования, проверив и признав верным расчет неустойки, не усмотрев оснований для применения статьи 333 Гражданского кодекса Российской Федерации, суды удовлетворили исковые требования, с чем впоследствии согласился суд округа.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Заявленное обществом ходатайство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Принимая во внимание изложенное и руководствуясь статьями 291.6, 3 291.8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«Великая стена»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