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21.07.2021, оставленным без изменения постановлением Девятого арбитражного апелляционного суда от 22.10.2021 и постановлением Арбитражного суда Московского округа от 11.03.2022, исковые требования удовлетворены частично. В кассационной жалобе, поданной в Верховный Суд Российской Федерации, общество, ссылаясь на нарушение судами норм права, несоответствие выводов судов фактическим обстоятельствам дела,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 и действия сторон по их исполнению, руководствуясь статьями 421, 702, 708, 709, 711, 720, 1102, 1107 Гражданского кодекса Российской Федерации, суды первой и апелляционной инстанций, с которыми впоследствии согласился суд округа, пришли к выводу о наличии оснований для частичного удовлетворения исковых требований, исходя из подтвержденности факта неосновательного обогащения на стороне ответчика во взысканной сумме.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«НСК ЭНТЕР»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