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27.07.2021, оставленным без изменения постановлением Шестнадцатого арбитражного апелляционного суда от 03.11.2021 и постановлением Арбитражного суда Северо-Кавказского округа от 11.03.2022,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2 материального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установлено судами и следует из материалов дела, иск предпринимателя (цессионарий) предъявлен на основании договора от 25.06.2020 № 02/06/2020 уступки прав требования, заключенного с компанией (цедент, исполнитель), согласно условиям которого последняя уступила предпринимателю право требования к обществу (заказчик), основанное на договоре от 01.05.2019 № 09-04-001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53, 182, 309, 310, 402, 753, 779, 781, 783 Гражданского кодекса Российской Федерации, суды первой и апелляционной инстанций пришли к выводу об отсутствии оснований для удовлетворения иска, исходя из недоказанности оказания компанией спорных услуг и передачи их результата обществу. Суд округа поддержал выводы судов первой и апелляционной инстанций. Доводы кассационной жалобы не опровергают выводы судов,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Рабаева Михаила Анатольевича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