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25.06.2021, оставленным без изменения постановлениями Девятого арбитражного апелляционного суда от 05.10.2021 и Арбитражного суда Московского округа от 21.03.2022, в удовлетворении заявления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Отказывая в удовлетворении заявления, суды, оценив представленные в дело доказательства, руководствуясь положениями статей 12, 368, 370, 3751, 379 Гражданского кодекса Российской Федерации, статьи 95 Федерального 2 закона от 05.04.2013 № 44-ФЗ «О контрактной системе в сфере закупок товаров, работ, услуг для обеспечения государственных и муниципальных нужд», пришли к выводу о том, что действия учреждения по направлению требования об осуществлении платежа по банковской гарантии являются законными и обоснованными, поскольку событие, с которым связано возникновение обязанности гаранта по выплате по гарантии, считается наступившим. Доводы кассационной жалобы не свидетельствуют о наличии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оспариваемых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Общество не лишено возможности при наличии соответствующих доказательств обратиться за защитой путем взыскания убытков, причиненных действиями заказчика по необоснованному получению суммы банковской гарантии. Определением Верховного Суда Российской Федерации от 26.05.2022 обществу предоставлена отсрочка по уплате государственной пошлины за подачу кассационной жалобы. С учетом положений статей 33321, 33322 Налогового кодекса Российской Федерации и статей 102, 110 Арбитражного процессуального кодекса Российской Федерации государственная пошлина подлежит взысканию с заявителя в доход федерального бюджета.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«СтройКом» в доход федерального бюджета 3 000 (три тысячи) рублей государственной пошлины за подачу кассационной жалобы. Арбитражному суду города Москвы выдать исполнительный лист.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