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12.10.2021 заявленное требование удовлетворено. Постановлением Восемнадцатого арбитражного апелляционного суда от 20.12.2021 решение суда первой инстанции отменено, в удовлетворении заявления отказано. Арбитражный суд Уральского округа постановлением от 06.04.2022 постановление суда апелляционной инстанции оставил без изменения. 2 В кассационной жалобе, поданной в Верховный Суд Российской Федерации, общество ссылается на существенное нарушение судами норм процессуального права, просит отменить постановления судов апелляционной инстанции и округа, оставить в силе решение суда первой инстанции. 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«Башкирские распределительные электрические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