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Исупова Дмитрия Александровича в Арбитражный суд Челябинской области обратился финансовый управляющий с заявлением, уточненным в порядке статья 49 Арбитражного процессуального кодекса Российской Федерации, о признании недействительными сделок по отчуждению обществом с ограниченной ответственностью «Ладис» Исупову Кириллу Александровичу по договорам купли-продажи: 14/20 доли в праве на недвижимое имущество; 1/2 доли в праве на недвижимое имущество; 1/2 доли земельного участка под зданием, и применении последствий недействительности сделок. К участию в рассмотрении заявления в качестве третьего лица, не заявляющего самостоятельных требований относительно предмета спора, привлечена Исупова Лариса Юрьевна. Определением Арбитражного суда Челябинской области от 05.07.2021 в удовлетворении заявления отказано. Определением Восемнадцатого арбитражного апелляционного суда от 15.02.2022 по ходатайству финансового управляющего назначена судебная экспертиза, производство по спору приостановлено. 2 Арбитражный суд Уральского округа постановлением от 30.03.2022 определение суда апелляционной инстанции оставил без изменения. Исупов Кирилл Александрович обратился в Судебную коллегию Верховного Суда Российской Федерации с кассационной жалобой на определение суда апелляционной инстанции и постановление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Удовлетворяя ходатайство о назначении судебной экспертизы и приостанавливая производство по спору, суд апелляционной инстанции руководствовался статьями 82, 144, 188 Арбитражного процессуального кодекса Российской Федерации, разъяснениями, изложенными в постановлении Пленума Высшего Арбитражного Суда Российской Федерации от 04.04.2014 № 23 «О некоторых вопросах практики применения арбитражными судами законодательства об экспертизе», и исходил из предмета и основания заявленного требования и необходимости проверки доводов финансового управляющего об отчуждении объектов недвижимости по заниженной стоимости. Суд округа согласился с выводами суда апелляционной инстанции. Доводы кассационной жалобы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Исупову Кириллу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