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05.07.2022 обратился в Верховный Суд Российской Федерации с жалобой на определение судьи Верховного Суда Российской Федерации от 30.05.2022 № 305-ЭС22-7044, решение Арбитражного суда города Москвы от 28.06.2021, постановление Девятого арбитражного апелляционного суда от 11.10.2021 и постановление Арбитражного суда Московского округа от 02.02.2022 по делу № А40-156223/2020,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2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 27.06.2022. Доводов, обосновывающих уважительность пропуска рассматриваемого срока, заявителем не приведено.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Гальченко Владимира Николаевича о восстановлении пропущенного процессуального срока отказать. Жалобу возвратить заявителю.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