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09.11.2021, оставленным без изменения постановлением Девятого арбитражного апелляционного суда от 23.12.2021 и постановлением Арбитражного суда Московского округа от 31.03.2022, производство по делу в части требований о взыскании долга и неустойки прекращено, в удовлетворении остальной части заявленных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 взыскании с ответчика задолженности и неустойки.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Прекращая производство по делу в части требований о взыскании задолженности и неустойки, суд первой инстанции руководствовался пунктом 2 части 1 статьи 150 Арбитражного процессуального кодекса Российской Федерации и исходил из тождественности исков по настоящему делу и делу № А40-97527/2020, по которому имеется вступивший в законную силу судебный акт. Руководствуясь статьями 12, 307, 309, 310, 720, 753 Гражданского кодекса Российской Федерации, исходя из установленных фактических обстоятельств, суд не усмотрел оснований для удовлетворения заявленного требования об обязании ответчика принять результат выполненных работ. Суды апелляционной инстанции и округа поддержали выводы суда первой инстанции.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«Ронекс-М»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