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19.02.2021 в удовлетворении иска отказано. Постановлением Девятого арбитражного апелляционного суда от 24.11.2021 решение суда первой инстанции отменено, с общества в пользу компании взыскано 18 111 082 руб. 93 коп. долга, в удовлетворении остальной части иска отказано. Постановлением Арбитражного суда Московского округа от 01.03.2022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постановления от 24.11.2021, от 01.03.2022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установив факт выполнения компанией (подрядчик) работ по спорному договору стоимостью 27 111 082 руб. 93 коп., учитывая произведенную обществом (заказчик) оплату в размере 9 000 000 руб., руководствуясь статьями 309, 310, 702, 711 Гражданского кодекса Российской Федерации, суд апелляционной инстанции пришел к выводу о наличии на стороне общества задолженности в сумме 18 111 082 руб. 93 коп. и удовлетворил исковые требования в указанной части, с чем впоследствии согласился суд округа. Приведенные в кассационной жалобе доводы были предметом рассмотрения окружного суда и получили правовую оценку, не подтверждают наличие существенных нарушений норм материального и (или) процессуального права, повлиявших на исход дела, и не являются достаточными основаниями для пересмотра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«М.А. - Холдинг»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