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01.09.2021, оставленным без изменения постановлением Пятнадцатого арбитражного апелляционного суда от 17.12.2021, с компании в пользу общества взыскано 72 689 191 руб. 80 коп. задолженности, 3 634 459 руб. 59 коп. пеней 2 с 28.12.2016 по 16.02.2017, в удовлетворении остальной части исковых требований отказано. Постановлением Арбитражного суда Северо-Кавказского округа от 06.04.2022 решение суда первой инстанции и постановление суда апелляционной инстанции отменены, дело направлено на новое рассмотрение в Арбитражный суд Краснодарского края.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исследовали все обстоятельства, имеющие существенное значение для правильного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«Стройтрансгаз»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