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21.06.2021, оставленным без изменения постановлением Тринадцатого арбитражного апелляционного суда от 28.10.2021 и постановлением Арбитражного суда Северо-Западного округа от 09.03.2022, в удовлетворении иска отказано.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2 акты и направить дело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установив, что недостатки автомобиля связаны с его естественным износом, возникшим в ходе эксплуатации, представленные предпринимателем доказательства не подтверждают наличия у товара существенных недостатков по качеству, возникших до его передачи покупателю или по причинам, возникшим до этого момента, руководствуясь статьями 307, 309, 310, 456, 459, 475, 476, 506, 518, 665 Гражданского кодекса Российской Федерации, суды первой и апелляционной инстанций пришли к выводу об отсутствии оснований для удовлетворения иска, с чем впоследствии согласился суд округа.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Суслова Дмитрия Леонидовича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