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кассационной инстанции, принятое и вступившее в законную силу 25.04.2022, тогда как заявитель обратился в Верховный Суд Российской Федерации с настоящей кассационной жалобой, содержащей ходатайство о восстановлении пропущенного срока, 05.07.2022, то есть с пропуском установленного частью 1 статьи 291.2 АПК РФ срока. В обоснование ходатайства предприниматель ссылается на то, что ранее направлял аналогичную кассационную жалобу. Между тем, как усматривается из материалов кассационного производства, первоначально поданная жалоба была направлена в Верховный Суд Российской Федерации 27.06.2022, то есть в последний день срока на подачу кассационной жалобы, и была возвращена без рассмотрения ввиду отсутствия доказательств уплаты государственной пошлины за ее подачу. При этом нарушение порядка подачи кассационной жалобы и его последующее устранение не может служить самостоятельным основанием к восстановлению пропущенного процессуального срока. Подача ненадлежащим образом оформленной кассационной жалобы течение срока подачи жалобы не прерывает, не является уважительной причиной пропуска срока, не зависящей от заявителя, и не является основанием для его восстановления. Направляя жалобу в адрес Верховного Суда Российской Федерации с нарушением предъявляемых процессуальным законодательством требований к форме, содержанию, порядку подачи такой жалобы, заявитель должен был предвидеть последствия несоблюдения им норм процессуального законодательства. Имея намерение обжаловать принятые судебные акты, заявитель располагал возможностью заблаговременно обратиться с надлежаще оформленной кассационной жалобой в срок, установленный частью 1 статьи 291.2 АПК РФ.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3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184,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Аршакяна Аршака Робертовича о восстановлении пропущенного срока подачи кассационной жалобы отказать. Возвратить кассационную жалобу заявителю. Возвратить индивидуальному предпринимателю Аршакяну Аршаку Робертовичу из федерального бюджета 3 000 рублей государственной пошлины, уплаченной по чек-ордеру от 30.06.2022 № операции 4982.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