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09.08.2021, оставленным без изменения постановлением Девятого арбитражного апелляционного суда от 25.10.2021 и постановлением Арбитражного суда Московского округа от 11.03.2022,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при рассмотрении дела № А40-336258/2019, руководствуясь статьями 309, 310, 401, 405, 406, 702, 711, 746 Гражданского кодекса Российской Федерации, суды первой и апелляционной инстанций пришли к выводу о наличии оснований для удовлетворения первоначального иска и отказа в удовлетворении встречных требований, исходя из подтвержденности факта надлежащего исполнения компанией (подрядчик) обязательств по спорному договору.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«Новые строительные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