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31.08.2021, оставленным без изменения постановлением Десятого арбитражного 2 апелляционного суда от 26.11.2021 и постановлением Арбитражного суда Московского округа от 28.03.2022, первоначальные исковые требования удовлетворены,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завод (заказчик) перечислил в пользу общества (подрядчик) аванс по спорному договору; договор расторгнут заводом в одностороннем порядке в связи с нарушением обществом обязательств; доказательств выполнения обществом работ и передачи их результата заводу, как и доказательств освоения аванса в полном объеме, не представлено; обществом пропущен срок исковой давности по требованию об обязании принять товар путем подписания универсального передаточного акта, руководствуясь статьями 196, 199, 200, 309, 310, 395, 431, 450.1, 453, 702, 706, 708, 711, 715, 717, 746, 1102 Гражданского кодекса Российской Федерации, суды первой и апелляционной инстанций удовлетворили первоначальные исковые требования о взыскании неосновательного обогащения и процентов, отказав в удовлетворении встречного иска.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«Сапфир»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