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21.05.2021 исковые требования удовлетворены. Постановлением Двадцатого арбитражного апелляционного суда от 20.09.2021 решение суда первой инстанции отменено, в удовлетворении иска отказано. 2 Постановлением Арбитражного суда Центрального округа от 11.03.2022 постановление суда апелляционной инстанции оставлено без изменения. В кассационных жалобах, поданных в Верховный Суд Российской Федерации, общество и компания просят отменить постановления судов апелляционной и кассационной инстанций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спорного договора, установив отсутствие у предприятия денежного обязательства перед компанией, руководствуясь статьями 307, 421, 424, 431, 450.1, 713, 728, 740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16 «О свободе договора и ее пределах»,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 апелляционной инстанции не усмотрел оснований для удовлетворения иска, с чем впоследствии согласился суд округа. Выводы судов подробно мотивированы. Доводы кассационных жалоб повторяют позицию заявителей по спору, выводов судов апелляционной и кассационной инстанций не опровергают, основаны на иной оценке фактических обстоятельств дела. Поскольку существенных нарушений норм материального и (или) процессуального права, повлиявших на исход дела, судами апелляционной и кассационной инстанций не допущено, оснований 3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«Газпром инвест» и акционерного общества «Ямалгазинвест»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