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10.06.2021, оставленным без изменения постановлением Тринадцатого арбитражного апелляционного суда от 04.10.2021, Миронова И.А. привлечена к административной ответственности, 2 предусмотренной частью 4 статьи 14.13 КоАП РФ с назначением административного наказания в виде штрафа в размере 40 000 рублей. Арбитражный суд Северо-Западного округа постановлением от 01.03.2022 оставил без изменения указанные судебные акты судов. Миронова И.А. обратилась в Верховный Суд Российской Федерации с кассационной жалобой, в которой просит отменить судебные акты, ссылаясь на нарушение норм материального права. При изучении доводов жалобы и принятых по делу судебных актов оснований для удовлетворения жалобы не установлено. Частью 4 статьи 14.13 КоАП РФ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Мироновой И.А. правонарушения, ответственность за совершение которого предусмотрена частью 4 статьи 14.13 КоАП РФ, установив факт неисполнения в установленный срок обязанности по передаче конкурсному управляющему 3 бухгалтерской и иной документации должника, печатей, штампов, материальных и иных ценностей. Процедура и срок давности привлечения к административной ответственности соблюдены, оснований для применения положений статей 2.9 и 4.1.1 КоАП РФ не установлено.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