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15.09.2021 завершена процедура реализации имущества гражданина Быстрицкого Юрия Юрьевича и должник освобожден от дальнейшего исполнения требований кредиторов, в том числе не заявленных при реализации имущества гражданина. Постановлением Второго арбитражного апелляционного суда от 23.12.2021 определение суда первой инстанции оставлено без изменения. Арбитражный суд Волго-Вятского округа постановлением от 14.03.2022 указанные судебные акты оставил без изменения. Общество с ограниченной ответственностью «НБК» обратилось в Судебную коллегию Верховного Суда Российской Федерации с кассационной жалобой на принятые судебные акты в части освобождения должника от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