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21.09.2021, оставленным без изменения постановлением Девятого арбитражного апелляционного суда от 29.11.2021 и постановлением Арбитражного суда Московского округа от 26.04.2022, иск удовлетворен. В кассационной жалобе, поданной в Верховный Суд Российской Федерации, завод,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заводом срока поставки товара, учитывая согласованное сторонами контракта условие об ответственности за указанное нарушение, проверив и признав верным расчет неустойки, руководствуясь статьями 309, 310, 330, 506, 516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жалобы, в том числе о неисполнении обществом встречных обязательств, были предметом рассмотрения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«Саранский телевизионный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