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17.09.2021, оставленным без изменения постановлением Семнадцатого арбитражного апелляционного суда от 13.12.2021 и постановлением Арбитражного суда Уральского округа от 04.03.2022, в удовлетворении первоначального иска отказано, встречный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строительно-технической экспертизы, установив, что спорный договор расторгнут, до его расторжения компания выполнила работы на общую сумму 3 009 283 руб., признав необоснованным отказ общества от подписании акта о приемке работ, учитывая отсутствие доказательств наличия в выполненных работах существенных недостатков, а также оплаты работ в полном объеме, руководствуясь статьями 309, 310, 329, 330, 702, 711, 715, 717, 753 Гражданского кодекса Российской Федерации, суды первой и апелляционной инстанций отказали в удовлетворении первоначального иска и удовлетворили встречные требования, с чем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жалобу общества с ограниченной ответственностью «СтройХимПроект»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