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(ООО «ТЭС СтройСнаб») обратился в арбитражный суд с заявлением о привлечении Овчарова В.С., Трушева Р.Е. и общества «Петронефть» к субсидиарной ответственности по обязательствам должника. Обжалуемыми судебными актами заявление удовлетворено: требования признаны обоснованными. Производство по заявлению конкурсного кредитора в части установления размера ответственности приостановлено до осуществления расчетов с кредиторами. В кассационных жалобах заявители просят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кассационных жалобах, установлено, что предусмотренные статьей 291.6 Арбитражного процессуального кодекса Российской Федерации 2 основания для передачи жалоб для рассмотрения в судебном заседании Судебной коллегии по экономическим спорам Верховного Суда Российской Федерации отсутствуют. Суды руководствовались статьями 10, 61.10-61.12 Федерального закона от 26.10.2002 № 127-ФЗ «О несостоятельности (банкротстве)», статьями 53, 56 Гражданского кодекса Российской Федерации и исходили из доказанности совокупности условий, необходимых для привлечения названных лиц к субсидиарной ответственности по обязательствам должника. Доводы кассационных жалоб не свидетельствуют о допущенных судами нарушениях норм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С.В. Самуйлов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