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Головкин Сергей Владимирович обратился в Арбитражный суд города Москвы с иском к обществу с ограниченной ответственностью «Газ Инжиниринг Групп» (далее – Общество) о признании недействительными решений общего собрания участников Общества, оформленного протоколом от 27.08.2021. Головкин С.В. 17.12.2021 обратился в Арбитражного суда города Москвы с заявлением о принятии мер по обеспечению иска в виде: - запрета Межрайонной инспекции Федеральной налоговой службы № 46 по городу Москве (далее – Инспекция) производить регистрационные действия в отношении сведений о размере уставного капитала Общества (ОГРН 1046605184141) до вступления в законную силу судебного акта по делу № А40-213280/2021; - запрета Инспекции производить регистрационные действия в отношении сведений о доле Головкина С.В. в Обществе (ОГРН 1046605184141) до вступления в законную силу судебного акта по делу № А40-213280/2021; 2 - запрета Инспекции производить регистрационные действия в отношении сведений о директоре Общества (ОГРН 1046605184141) до вступления в законную силу судебного акта по делу № А40-213280/2021; - запрета Инспекции производить регистрационные действия в отношении устава Общества (ОГРН 1046605184141) до вступления в законную силу судебного акта по делу № А40-213280/2021; - запрета Обществу (ОГРН 1046605184141) проведения общих собраний участников по вопросам увеличения уставного капитала, утверждения увеличения уставного капитала, подтверждения полномочий директора, подтверждения полномочий членов совета директоров до истечения шестидесяти дней с момента вступления в силу судебного акта по делу № А40-213280/2021. Определением Арбитражного суда города Москвы от 20.12.2021, оставленным без изменения постановлением Девятого арбитражного апелляционного суда от 26.01.2022 и постановлением Арбитражного суда Московского округа от 25.03.2022, в удовлетворении заявления Головкина С.В. отказано. В кассационной жалобе, поданной в Верховный Суд Российской Федерации, заявитель просит отменить состоявшиеся по делу судебные акты об отказе в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заявитель указывает на необходимость принятия испрашиваемых обеспечительных мер для обеспечения баланса прав и обязанностей сторон в условиях корпоративного конфликта.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суды, руководствовались положениями статей 90, 93, 97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 и исходили из недоказанности возможности наступления последствий, с которыми закон связывает принятие мер по обеспечению иска. Судебные инстанции приняли во внимание, что доводы истца по принятию испрашиваемых обеспечительных мер касаются рассмотрения спора по существу, что является недопустимым.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Головкина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