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26.07.2021, оставленным без изменения постановлением Второго арбитражного апелляционного суда от 08.10.2021 и постановлением Арбитражного суда Волго-Вятского округа от 01.03.2022, в удовлетворении исковых требований отказано. В кассационной жалобе, поданной в Верховный Суд Российской Федерации, компания, ссылаясь на нарушение судами норм права, несоответствие выводов судов фактическим обстоятельствам дела, просит отменить указанные судебные акты и направить дело на новое рассмотрение в Арбитражный суд Ярославской области в ином составе судей.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подряда, установив факт выполнения обществом (исполнитель) работ на сумму перечисленного компанией (заказчик) аванса и принятия последней результата выполненных работ без каких-либо возражений, отсутствие доказательств того, что стоимость результата выполненных работ меньше суммы полученного аванса, указав на прекращение между сторонами договорных отношений, руководствуясь статьями 309, 310, 450.1, 453, 702, 753, 1102 Гражданского кодекса Российской Федерации, суды первой и апелляционной инстанций не усмотрели оснований для удовлетворения исковых требований.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«Северная транспортная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