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11.06.2021 (резолютивная часть от 25.05.2021), принятым в порядке упрощенного производства, иск удовлетворен. Восемнадцатый арбитражный апелляционный суд определением от 16.08.2021 перешел к рассмотрению дела по правилам суда первой инстанции. Постановлением Восемнадцатого арбитражного апелляционного суда от 18.10.2021 решение суда первой инстанции отменено, иск удовлетворен. Арбитражный суд Уральского округа от 05.03.2022 постановлением оставил без изменения постановление суда апелляционной инстанции. В кассационной жалобе, поданной в Верховный Суд Российской Федерации, общество, ссылаясь на то, что суды не исследовали обстоятельства, имеющие существенное значение для правильного разрешения спора,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заводом (исполнитель) работ, направления им в адрес общества (заказчик) акта о приемке выполненных работ, отсутствие мотивированного отказа от его подписания, а также доказательств, свидетельствующих о том, что результат выполненных работ не имеет для заказчика потребительской ценности, руководствуясь статьями 432 , 702 , 708 , 711 , 720 , 753 Гражданского кодекса Российской Федерации, суд апелляционной инстанции пришел к выводу о наличии оснований для удовлетворения иска. Суд округа поддержал выводы апелляционного суда. Доводы заявителя о наличии у него переплаты за поставленный заводом товар и оснований для проведения зачета были предметом рассмотрения судов и отклонены ввиду неподтвержденности.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Определением Верховного Суда Российской Федерации от 17.05.2022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Республики Башкортостан.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«УралПромСтрой»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«УралПромСтрой» в доход федерального бюджета 3000 (три тысячи) рублей государственной пошлины за подачу кассационной жалобы. Поручить Арбитражному суду Республики Башкортостан выдать исполнительный лист на взыскание госпошлины. Судья Верховного Суда Российской Федерации Н.С. Чучунова Суд: Верховный Суд РФ (подробнее) Истцы: ООО ЗАВОД ФАСАДА И КРОВЛИ (подробнее) Ответчики: ООО "УралПромСтрой" (подробнее) Иные лица: Арбитражный суд Республики Башкортостан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