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«Совфрахт»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акционерного общества «Евротранссервис» 2 791 280 рублей штрафа за сверхнормативный простой вагонов. Решением Арбитражного суда города Санкт-Петербурга и Ленинградской области от 12.08.2021 иск удовлетворен. Постановлением Тринадцатого арбитражного апелляционного суда от 19.11.2021 решение суда первой инстанции оставлено без изменения. Арбитражный суд Северо-Западного округа постановлением от 10.03.2022 указанные судебные акты оставил без изменения. Общество с ограниченной ответственностью «Евротранссервис» обратилось в Судебную коллегию по экономическим спорам Верховного Суда 2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нахождения спорных вагонов под грузовыми операциями сверх установленного нормативного времени и отсутствие доказательств, опровергающих данный факт, руководствуясь положениями статей 309, 310, 779, 781 Гражданского кодекса Российской Федерации, суды пришли к выводу об обоснованности иска.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3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