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текста определения во вводной и резолютивной частях допущена опечатка в отчестве заявителя кассационной жалобы, а именно: вместо «Фаизовна» ошибочно указано «Федоровна». В соответствии с частью 3 статьи 179 Арбитражного процессуального кодекса Российской Федерации арбитражный суд, принявший решение, по своей инициативе вправе исправить допущенные в нем опечатки без изменения его содержания, о чем выносит определение. В данном случае исправление допущенной опечатки не повлияет на существо вынесенного определения и не изменит его содержания. Руководствуясь статьями 179,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опечатку во вводной и резолютивной частях определения Верховного Суда Российской Федерации от 01.07.2022 № 305-ЭС20-23589: вместо отчества заявителя «Федоровна» читать «Фаизовна». Судья Верховного Суда Российской Федерации Н.С. Чучунова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