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29.06.2021 первоначальный иск удовлетворен, в удовлетворении встречного иска отказано. Постановлением Двадцать первого арбитражного апелляционного суда от 09.12.2021 решение суда первой инстанции отменено, в удовлетворении первоначального иска отказано, встречный иск удовлетворен частично: с общества в пользу компании взыскано 2 687 325 руб. основного долга, 129 046 руб. 81 коп. процентов за пользование чужими денежными средствами за период с 28.01.2021 по 02.12.2021, в удовлетворении остальной части требований отказано. Дополнительным постановлением Двадцать первого арбитражного апелляционного суда от 03.02.2022 с общества в пользу компании взысканы проценты за пользование чужими денежными средствами на сумму основного 2 долга в размере 2 687 325 руб. за период с 03.12.2021 по день фактической уплаты долга. Постановлением Арбитражного суда Центрального округа от 29.03.2022 постановление и дополнительное постановление суда апелляционной инстанции оставлены без изменения. Не согласившись с постановлениями судов апелляционной инстанции и округа, общество обратилось в Верховный Суд Российской Федерации с кассационной жалобой. Письмом от 14.06.2022 дело истребовано из Арбитражного суда города Севастополя. Впоследствии от общества поступило ходатайство о приостановлении исполнения постановления суда апелляционной инстанции от 09.12.2021 и постановления суда округа от 29.03.2022.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обществом доводы подтверждают затруднительность поворота исполнения судебных актов в случае их отмены.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«Крымморгидрострой» удовлетворить. Приостановить исполнение постановления Двадцать первого арбитражного апелляционного суда от 09.12.2021 и постановления Арбитражного суда Центрального округа от 29.03.2022 по делу № А84-186/2021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